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AD6EE" w14:textId="22783020" w:rsidR="00F52E8C" w:rsidRPr="00F52E8C" w:rsidRDefault="00F52E8C" w:rsidP="00B05B39">
      <w:pPr>
        <w:pStyle w:val="tkGrif"/>
        <w:tabs>
          <w:tab w:val="left" w:pos="3382"/>
          <w:tab w:val="left" w:pos="6189"/>
        </w:tabs>
        <w:spacing w:after="0" w:line="240" w:lineRule="auto"/>
        <w:rPr>
          <w:rFonts w:ascii="Times New Roman" w:hAnsi="Times New Roman" w:cs="Times New Roman"/>
        </w:rPr>
      </w:pPr>
      <w:r w:rsidRPr="00F52E8C">
        <w:rPr>
          <w:rFonts w:ascii="Times New Roman" w:hAnsi="Times New Roman" w:cs="Times New Roman"/>
        </w:rPr>
        <w:t>Приложение 1 к Методике проведения анализа регулятивного воздействия нормативных правовых актов на деятельность субъектов предпринимательства</w:t>
      </w:r>
    </w:p>
    <w:p w14:paraId="2F075E49" w14:textId="77777777" w:rsidR="00975B4C" w:rsidRPr="00F52E8C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2E8C">
        <w:rPr>
          <w:rFonts w:ascii="Times New Roman" w:hAnsi="Times New Roman" w:cs="Times New Roman"/>
          <w:sz w:val="28"/>
          <w:szCs w:val="28"/>
        </w:rPr>
        <w:t> </w:t>
      </w:r>
    </w:p>
    <w:p w14:paraId="777CE706" w14:textId="479C629A" w:rsidR="00975B4C" w:rsidRDefault="00975B4C" w:rsidP="00B05B39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2B5B40">
        <w:rPr>
          <w:rFonts w:ascii="Times New Roman" w:hAnsi="Times New Roman" w:cs="Times New Roman"/>
        </w:rPr>
        <w:t>УВЕДОМЛЕНИЕ</w:t>
      </w:r>
      <w:r w:rsidRPr="002B5B40">
        <w:rPr>
          <w:rFonts w:ascii="Times New Roman" w:hAnsi="Times New Roman" w:cs="Times New Roman"/>
        </w:rPr>
        <w:br/>
        <w:t>о разработке проекта нормативного правового акта</w:t>
      </w:r>
    </w:p>
    <w:p w14:paraId="1D7D48AA" w14:textId="77777777" w:rsidR="00B05B39" w:rsidRPr="00B05B39" w:rsidRDefault="00B05B39" w:rsidP="00B05B39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B05B39">
        <w:rPr>
          <w:rFonts w:ascii="Times New Roman" w:hAnsi="Times New Roman" w:cs="Times New Roman"/>
        </w:rPr>
        <w:t xml:space="preserve">Постановление Кабинета Министров Кыргызской Республики </w:t>
      </w:r>
    </w:p>
    <w:p w14:paraId="557F9917" w14:textId="7FBA7561" w:rsidR="00B05B39" w:rsidRDefault="00B05B39" w:rsidP="00B05B39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B05B39">
        <w:rPr>
          <w:rFonts w:ascii="Times New Roman" w:hAnsi="Times New Roman" w:cs="Times New Roman"/>
        </w:rPr>
        <w:t>«Об утверждении Порядка ввоза на территорию Кыргызской Республики лекарственных средств для медицинского применения и медицинских изделий</w:t>
      </w:r>
    </w:p>
    <w:p w14:paraId="2F360D24" w14:textId="77777777" w:rsidR="00B05B39" w:rsidRPr="002B5B40" w:rsidRDefault="00B05B39" w:rsidP="00B05B39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</w:rPr>
      </w:pPr>
    </w:p>
    <w:p w14:paraId="610221AC" w14:textId="3E70C67D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B5B40" w:rsidRPr="002B5B40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Кыргызской Республики (МЗ КР), Департамент лекарственных средств и медицинских изделий Министерства здравоохранения Кыргызской Республики (ДЛСМИ МЗ КР) </w:t>
      </w:r>
      <w:r w:rsidRPr="002B5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2B5FA" w14:textId="0007FAAC" w:rsidR="00975B4C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извещает о начале обсуждения правового регулирования и сборе предложений заинтересованных лиц.</w:t>
      </w:r>
      <w:r w:rsidR="002B5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56868" w14:textId="77777777" w:rsidR="002B5B40" w:rsidRPr="002B5B40" w:rsidRDefault="002B5B40" w:rsidP="00B05B39">
      <w:pPr>
        <w:pStyle w:val="tkTekst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A9EF065" w14:textId="77777777" w:rsidR="002B5B40" w:rsidRPr="005144E7" w:rsidRDefault="00975B4C" w:rsidP="00B05B39">
      <w:pPr>
        <w:pStyle w:val="tkTekst"/>
        <w:tabs>
          <w:tab w:val="left" w:pos="284"/>
        </w:tabs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144E7">
        <w:rPr>
          <w:rFonts w:ascii="Times New Roman" w:hAnsi="Times New Roman" w:cs="Times New Roman"/>
          <w:b/>
          <w:bCs/>
          <w:sz w:val="24"/>
          <w:szCs w:val="24"/>
        </w:rPr>
        <w:t xml:space="preserve">1. Описание проблем, на решение которых направлено предлагаемое регулирование </w:t>
      </w:r>
    </w:p>
    <w:p w14:paraId="57492D8E" w14:textId="379F7B46" w:rsidR="002B5B40" w:rsidRDefault="002B5B40" w:rsidP="00B05B3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4E7">
        <w:rPr>
          <w:rFonts w:ascii="Times New Roman" w:hAnsi="Times New Roman" w:cs="Times New Roman"/>
          <w:sz w:val="24"/>
          <w:szCs w:val="24"/>
          <w:lang w:val="ru-RU"/>
        </w:rPr>
        <w:t>В настоящее время регулирование уполномоченным органом ввоза ЛС и МИ не охватывает вопросы использования IT-технологий и результатов цифровизации государственных учреждений. Это создает проблемы при их использовании и препятствует повышению эффективности организации процесса ввоза ЛС и МИ.</w:t>
      </w:r>
    </w:p>
    <w:p w14:paraId="2CCDEE77" w14:textId="77777777" w:rsidR="002B5B40" w:rsidRPr="005144E7" w:rsidRDefault="002B5B40" w:rsidP="00B05B3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4E7">
        <w:rPr>
          <w:rFonts w:ascii="Times New Roman" w:hAnsi="Times New Roman" w:cs="Times New Roman"/>
          <w:sz w:val="24"/>
          <w:szCs w:val="24"/>
          <w:lang w:val="ru-RU"/>
        </w:rPr>
        <w:t xml:space="preserve">Проблемы/риски при регулировании ввоза </w:t>
      </w:r>
      <w:bookmarkStart w:id="0" w:name="_Hlk172262273"/>
      <w:r w:rsidRPr="005144E7">
        <w:rPr>
          <w:rFonts w:ascii="Times New Roman" w:hAnsi="Times New Roman" w:cs="Times New Roman"/>
          <w:sz w:val="24"/>
          <w:szCs w:val="24"/>
          <w:lang w:val="ru-RU"/>
        </w:rPr>
        <w:t>ЛС и МИ</w:t>
      </w:r>
      <w:bookmarkEnd w:id="0"/>
      <w:r w:rsidRPr="005144E7">
        <w:rPr>
          <w:rFonts w:ascii="Times New Roman" w:hAnsi="Times New Roman" w:cs="Times New Roman"/>
          <w:sz w:val="24"/>
          <w:szCs w:val="24"/>
          <w:lang w:val="ru-RU"/>
        </w:rPr>
        <w:t>, которые включены в Государственный реестр лекарственных средств и медицинских изделий</w:t>
      </w:r>
      <w:r w:rsidRPr="005144E7">
        <w:rPr>
          <w:rStyle w:val="a7"/>
          <w:rFonts w:ascii="Times New Roman" w:hAnsi="Times New Roman" w:cs="Times New Roman"/>
          <w:sz w:val="24"/>
          <w:szCs w:val="24"/>
          <w:lang w:val="ru-RU"/>
        </w:rPr>
        <w:footnoteReference w:id="1"/>
      </w:r>
    </w:p>
    <w:p w14:paraId="73420F43" w14:textId="1654AFD5" w:rsidR="002B5B40" w:rsidRDefault="002B5B40" w:rsidP="00B05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4E7">
        <w:rPr>
          <w:rFonts w:ascii="Times New Roman" w:hAnsi="Times New Roman"/>
          <w:sz w:val="24"/>
          <w:szCs w:val="24"/>
        </w:rPr>
        <w:t>Регулирование в данном случае должно осуществляться с учетом факта регистрации ЛС и МИ в Государственном реестре лекарственных средств и медицинских изделий (</w:t>
      </w:r>
      <w:proofErr w:type="spellStart"/>
      <w:r w:rsidRPr="005144E7">
        <w:rPr>
          <w:rFonts w:ascii="Times New Roman" w:hAnsi="Times New Roman"/>
          <w:sz w:val="24"/>
          <w:szCs w:val="24"/>
        </w:rPr>
        <w:t>ГРЛСиМИ</w:t>
      </w:r>
      <w:proofErr w:type="spellEnd"/>
      <w:r w:rsidRPr="005144E7">
        <w:rPr>
          <w:rFonts w:ascii="Times New Roman" w:hAnsi="Times New Roman"/>
          <w:sz w:val="24"/>
          <w:szCs w:val="24"/>
        </w:rPr>
        <w:t>), т.е. учитывать, что эта продукция уже разрешена к применению в Кыргызской Республике. Кроме того, необходимо не допустить создание проблем, связанных с возможными избыточными административными требованиями к предпринимателям. В противном случае есть риски, что для предпринимателей могут возникнуть дополнительные издержки, прежде всего, при подготовке пакета документов и при передаче его уполномоченному органу.</w:t>
      </w:r>
    </w:p>
    <w:p w14:paraId="528593E6" w14:textId="77777777" w:rsidR="002B5B40" w:rsidRPr="005144E7" w:rsidRDefault="002B5B40" w:rsidP="00B05B3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4E7">
        <w:rPr>
          <w:rFonts w:ascii="Times New Roman" w:hAnsi="Times New Roman" w:cs="Times New Roman"/>
          <w:sz w:val="24"/>
          <w:szCs w:val="24"/>
          <w:lang w:val="ru-RU"/>
        </w:rPr>
        <w:t>Проблемы/риски при регулировании ввоза ЛС и МИ на основании заключения (разрешительного документа) на ввоз лекарственного средства и медицинского изделия</w:t>
      </w:r>
    </w:p>
    <w:p w14:paraId="6987B9D1" w14:textId="77777777" w:rsidR="002B5B40" w:rsidRPr="005144E7" w:rsidRDefault="002B5B40" w:rsidP="00B05B3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4E7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осуществления деятельности фармацевтические компании могут нуждаться в ввозе ЛС и МИ, которые не включены в </w:t>
      </w:r>
      <w:proofErr w:type="spellStart"/>
      <w:r w:rsidRPr="005144E7">
        <w:rPr>
          <w:rFonts w:ascii="Times New Roman" w:hAnsi="Times New Roman" w:cs="Times New Roman"/>
          <w:sz w:val="24"/>
          <w:szCs w:val="24"/>
          <w:lang w:val="ru-RU"/>
        </w:rPr>
        <w:t>ГРЛСиМИ</w:t>
      </w:r>
      <w:proofErr w:type="spellEnd"/>
      <w:r w:rsidRPr="005144E7">
        <w:rPr>
          <w:rFonts w:ascii="Times New Roman" w:hAnsi="Times New Roman" w:cs="Times New Roman"/>
          <w:sz w:val="24"/>
          <w:szCs w:val="24"/>
          <w:lang w:val="ru-RU"/>
        </w:rPr>
        <w:t>, но разрешен ввоз без регистрации.</w:t>
      </w:r>
    </w:p>
    <w:p w14:paraId="16F069E9" w14:textId="649772E9" w:rsidR="002B5B40" w:rsidRPr="005144E7" w:rsidRDefault="002B5B40" w:rsidP="00B05B3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4E7">
        <w:rPr>
          <w:rFonts w:ascii="Times New Roman" w:hAnsi="Times New Roman" w:cs="Times New Roman"/>
          <w:sz w:val="24"/>
          <w:szCs w:val="24"/>
          <w:lang w:val="ru-RU"/>
        </w:rPr>
        <w:t>Например, такое возникает при необходимости ввоза стандартных образцов ЛС и МИ для экспертизы; ввоза незарегистрированных ЛС и МИ для осуществления их регистрации, для оказания медицинской помощи по жизненным показаниям конкретного пациента</w:t>
      </w:r>
      <w:r w:rsidR="005144E7">
        <w:rPr>
          <w:rFonts w:ascii="Times New Roman" w:hAnsi="Times New Roman" w:cs="Times New Roman"/>
          <w:sz w:val="24"/>
          <w:szCs w:val="24"/>
          <w:lang w:val="ru-RU"/>
        </w:rPr>
        <w:t xml:space="preserve"> и в других случаях</w:t>
      </w:r>
      <w:r w:rsidRPr="005144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335F5F" w14:textId="77777777" w:rsidR="002B5B40" w:rsidRPr="005144E7" w:rsidRDefault="002B5B40" w:rsidP="00B05B3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4E7">
        <w:rPr>
          <w:rFonts w:ascii="Times New Roman" w:hAnsi="Times New Roman" w:cs="Times New Roman"/>
          <w:sz w:val="24"/>
          <w:szCs w:val="24"/>
          <w:lang w:val="ru-RU"/>
        </w:rPr>
        <w:t xml:space="preserve">Поэтому регулирование в данном случае должно осуществляться с учетом необходимости ввоза ЛС и МИ (при отсутствии запрета на их ввоз в Кыргызскую Республику), что связано с осуществлением предприятиями разрешённой деятельности или с обеспечением населения фармацевтической продукцией. </w:t>
      </w:r>
    </w:p>
    <w:p w14:paraId="201BC119" w14:textId="4B9BE291" w:rsidR="002B5B40" w:rsidRPr="005144E7" w:rsidRDefault="002B5B40" w:rsidP="00B05B3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44E7">
        <w:rPr>
          <w:rFonts w:ascii="Times New Roman" w:hAnsi="Times New Roman" w:cs="Times New Roman"/>
          <w:sz w:val="24"/>
          <w:szCs w:val="24"/>
          <w:lang w:val="ru-RU"/>
        </w:rPr>
        <w:t>Кроме того, регулирование не должно создавать необоснованные проблемы, барьеры для предпринимателей при получении разрешения на ввоз ЛС и МИ, которые могут увеличить их издержки.</w:t>
      </w:r>
    </w:p>
    <w:p w14:paraId="63CBB16C" w14:textId="77777777" w:rsidR="002B5B40" w:rsidRPr="005144E7" w:rsidRDefault="002B5B40" w:rsidP="00B05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2782B" w14:textId="68DA09D8" w:rsidR="002B5B40" w:rsidRDefault="002B5B40" w:rsidP="00B05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52F3">
        <w:rPr>
          <w:rFonts w:ascii="Times New Roman" w:hAnsi="Times New Roman"/>
          <w:sz w:val="24"/>
          <w:szCs w:val="24"/>
        </w:rPr>
        <w:t>Кроме того, регулирование ввоза в Кыргызской Республике должно быть гармонизировано с Решением Коллегии Евразийской экономической комиссии от 16 мая 2012 г. № 45</w:t>
      </w:r>
      <w:r>
        <w:rPr>
          <w:rFonts w:ascii="Times New Roman" w:hAnsi="Times New Roman"/>
          <w:sz w:val="24"/>
          <w:szCs w:val="24"/>
        </w:rPr>
        <w:t>.</w:t>
      </w:r>
    </w:p>
    <w:p w14:paraId="62C37011" w14:textId="0460352F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327ECDC" w14:textId="79E4EF10" w:rsidR="00975B4C" w:rsidRPr="005144E7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144E7">
        <w:rPr>
          <w:rFonts w:ascii="Times New Roman" w:hAnsi="Times New Roman" w:cs="Times New Roman"/>
          <w:b/>
          <w:bCs/>
          <w:sz w:val="24"/>
          <w:szCs w:val="24"/>
        </w:rPr>
        <w:t>2. Описание цели предлагаемого регулирования и способа решения проблем:</w:t>
      </w:r>
    </w:p>
    <w:p w14:paraId="4D40DFE0" w14:textId="781258A8" w:rsidR="002B5B40" w:rsidRDefault="002B5B40" w:rsidP="00B05B39">
      <w:pPr>
        <w:pStyle w:val="tkTekst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BC7498">
        <w:rPr>
          <w:rFonts w:ascii="Times New Roman" w:hAnsi="Times New Roman" w:cs="Times New Roman"/>
          <w:sz w:val="24"/>
          <w:szCs w:val="24"/>
        </w:rPr>
        <w:t xml:space="preserve">Установить порядок ввоза на территорию Кыргызской Республики лекарственных средств для медицинского применения и медицинских изделий, который создает условия для реализации их предпринимательских планов и </w:t>
      </w:r>
      <w:r w:rsidRPr="00BC7498">
        <w:rPr>
          <w:rFonts w:ascii="Times New Roman" w:hAnsi="Times New Roman"/>
          <w:sz w:val="24"/>
          <w:szCs w:val="24"/>
        </w:rPr>
        <w:t>насыщения рынка необходимыми ЛС и МИ, соблюдая при этом справедливый и рациональный баланс интересов предпринимателей и населения</w:t>
      </w:r>
    </w:p>
    <w:p w14:paraId="6E4492F2" w14:textId="77777777" w:rsidR="005144E7" w:rsidRDefault="005144E7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72E0272E" w14:textId="212046B0" w:rsidR="00D718BE" w:rsidRPr="00D718BE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 w:rsidRPr="00D718BE">
        <w:rPr>
          <w:rFonts w:ascii="Times New Roman" w:hAnsi="Times New Roman" w:cs="Times New Roman"/>
          <w:sz w:val="24"/>
          <w:szCs w:val="24"/>
          <w:u w:val="single"/>
        </w:rPr>
        <w:t>Способы решения проблем</w:t>
      </w:r>
    </w:p>
    <w:p w14:paraId="2A3CB616" w14:textId="674224B8" w:rsidR="00D718BE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144E7">
        <w:rPr>
          <w:rFonts w:ascii="Times New Roman" w:hAnsi="Times New Roman" w:cs="Times New Roman"/>
          <w:sz w:val="24"/>
          <w:szCs w:val="24"/>
          <w:u w:val="single"/>
        </w:rPr>
        <w:t>Проблема 1</w:t>
      </w:r>
      <w:r>
        <w:rPr>
          <w:rFonts w:ascii="Times New Roman" w:hAnsi="Times New Roman" w:cs="Times New Roman"/>
          <w:sz w:val="24"/>
          <w:szCs w:val="24"/>
        </w:rPr>
        <w:t xml:space="preserve"> – решение: п</w:t>
      </w:r>
      <w:r w:rsidRPr="00D46588">
        <w:rPr>
          <w:rFonts w:ascii="Times New Roman" w:hAnsi="Times New Roman" w:cs="Times New Roman"/>
          <w:sz w:val="24"/>
          <w:szCs w:val="24"/>
        </w:rPr>
        <w:t>роцедура выдачи справки, подтверждающей принадлежность продукции к лекарственным средствам и медицинским изделиям, осуществляется в электронном виде</w:t>
      </w:r>
    </w:p>
    <w:p w14:paraId="6F87A3F9" w14:textId="25A32518" w:rsidR="00D718BE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144E7">
        <w:rPr>
          <w:rFonts w:ascii="Times New Roman" w:hAnsi="Times New Roman" w:cs="Times New Roman"/>
          <w:sz w:val="24"/>
          <w:szCs w:val="24"/>
          <w:u w:val="single"/>
        </w:rPr>
        <w:t>Проблема 2</w:t>
      </w:r>
      <w:r>
        <w:rPr>
          <w:rFonts w:ascii="Times New Roman" w:hAnsi="Times New Roman" w:cs="Times New Roman"/>
          <w:sz w:val="24"/>
          <w:szCs w:val="24"/>
        </w:rPr>
        <w:t xml:space="preserve"> – решение: вводится регулирование, которое не создает необоснованные </w:t>
      </w:r>
      <w:r w:rsidRPr="00204720">
        <w:rPr>
          <w:rFonts w:ascii="Times New Roman" w:hAnsi="Times New Roman" w:cs="Times New Roman"/>
          <w:sz w:val="24"/>
          <w:szCs w:val="24"/>
        </w:rPr>
        <w:t>административны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4720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 xml:space="preserve">я к предпринимателям при получении разрешения для </w:t>
      </w:r>
      <w:r w:rsidRPr="00E6761B">
        <w:rPr>
          <w:rFonts w:ascii="Times New Roman" w:hAnsi="Times New Roman" w:cs="Times New Roman"/>
          <w:sz w:val="24"/>
          <w:szCs w:val="24"/>
        </w:rPr>
        <w:t>ввоз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761B">
        <w:rPr>
          <w:rFonts w:ascii="Times New Roman" w:hAnsi="Times New Roman" w:cs="Times New Roman"/>
          <w:sz w:val="24"/>
          <w:szCs w:val="24"/>
        </w:rPr>
        <w:t xml:space="preserve"> ЛС и МИ, включенных в </w:t>
      </w:r>
      <w:proofErr w:type="spellStart"/>
      <w:r w:rsidRPr="00E6761B">
        <w:rPr>
          <w:rFonts w:ascii="Times New Roman" w:hAnsi="Times New Roman" w:cs="Times New Roman"/>
          <w:sz w:val="24"/>
          <w:szCs w:val="24"/>
        </w:rPr>
        <w:t>ГРЛСиМИ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замедлят процедуры получения разрешения или сделают их более затратными</w:t>
      </w:r>
    </w:p>
    <w:p w14:paraId="4D4926E6" w14:textId="0BC4301B" w:rsidR="002B5B40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144E7">
        <w:rPr>
          <w:rFonts w:ascii="Times New Roman" w:hAnsi="Times New Roman" w:cs="Times New Roman"/>
          <w:sz w:val="24"/>
          <w:szCs w:val="24"/>
          <w:u w:val="single"/>
        </w:rPr>
        <w:t>Проблема 2</w:t>
      </w:r>
      <w:r>
        <w:rPr>
          <w:rFonts w:ascii="Times New Roman" w:hAnsi="Times New Roman" w:cs="Times New Roman"/>
          <w:sz w:val="24"/>
          <w:szCs w:val="24"/>
        </w:rPr>
        <w:t xml:space="preserve"> – решение: вводится регулирование, которое не создает необоснованные </w:t>
      </w:r>
      <w:r w:rsidRPr="00204720">
        <w:rPr>
          <w:rFonts w:ascii="Times New Roman" w:hAnsi="Times New Roman" w:cs="Times New Roman"/>
          <w:sz w:val="24"/>
          <w:szCs w:val="24"/>
        </w:rPr>
        <w:t>административны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4720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 xml:space="preserve">я к предпринимателям при получении </w:t>
      </w:r>
      <w:r w:rsidRPr="00373FA0">
        <w:rPr>
          <w:rFonts w:ascii="Times New Roman" w:hAnsi="Times New Roman" w:cs="Times New Roman"/>
          <w:sz w:val="24"/>
          <w:szCs w:val="24"/>
        </w:rPr>
        <w:t>разрешительного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для ввоза </w:t>
      </w:r>
      <w:r w:rsidRPr="00E6761B">
        <w:rPr>
          <w:rFonts w:ascii="Times New Roman" w:hAnsi="Times New Roman" w:cs="Times New Roman"/>
          <w:sz w:val="24"/>
          <w:szCs w:val="24"/>
        </w:rPr>
        <w:t xml:space="preserve">незарегистрированных в </w:t>
      </w:r>
      <w:proofErr w:type="spellStart"/>
      <w:r w:rsidRPr="00E6761B">
        <w:rPr>
          <w:rFonts w:ascii="Times New Roman" w:hAnsi="Times New Roman" w:cs="Times New Roman"/>
          <w:sz w:val="24"/>
          <w:szCs w:val="24"/>
        </w:rPr>
        <w:t>ГРЛСиМИ</w:t>
      </w:r>
      <w:proofErr w:type="spellEnd"/>
      <w:r w:rsidRPr="00E6761B">
        <w:rPr>
          <w:rFonts w:ascii="Times New Roman" w:hAnsi="Times New Roman" w:cs="Times New Roman"/>
          <w:sz w:val="24"/>
          <w:szCs w:val="24"/>
        </w:rPr>
        <w:t xml:space="preserve"> ЛС и МИ</w:t>
      </w:r>
      <w:r>
        <w:rPr>
          <w:rFonts w:ascii="Times New Roman" w:hAnsi="Times New Roman" w:cs="Times New Roman"/>
          <w:sz w:val="24"/>
          <w:szCs w:val="24"/>
        </w:rPr>
        <w:t>, которые замедлят процедуры получения разрешения или сделают их более затратными</w:t>
      </w:r>
    </w:p>
    <w:p w14:paraId="58444142" w14:textId="4D885AAA" w:rsidR="00D718BE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268EDEB" w14:textId="4CD97422" w:rsidR="00975B4C" w:rsidRPr="005144E7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144E7">
        <w:rPr>
          <w:rFonts w:ascii="Times New Roman" w:hAnsi="Times New Roman" w:cs="Times New Roman"/>
          <w:b/>
          <w:bCs/>
          <w:sz w:val="24"/>
          <w:szCs w:val="24"/>
        </w:rPr>
        <w:t>3. Оценка ожидаемых выгод и преимуществ предлагаемого регулирования:</w:t>
      </w:r>
    </w:p>
    <w:p w14:paraId="2A3A6724" w14:textId="5C9C6D1A" w:rsidR="00D718BE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Предлагаемое регулирование будет </w:t>
      </w:r>
      <w:r w:rsidRPr="00A03D5F">
        <w:rPr>
          <w:rFonts w:ascii="Times New Roman" w:hAnsi="Times New Roman" w:cs="Times New Roman"/>
          <w:sz w:val="24"/>
          <w:szCs w:val="24"/>
        </w:rPr>
        <w:t>не обременительным для фармацевтических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 не создает необоснованных барьеров при производственной деятельности, так как:</w:t>
      </w:r>
    </w:p>
    <w:p w14:paraId="1D939DDB" w14:textId="77777777" w:rsidR="00D718BE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введению электронного оборота документов, что значительно сокращает издержки предпринимателей;</w:t>
      </w:r>
    </w:p>
    <w:p w14:paraId="431BA2DD" w14:textId="77777777" w:rsidR="00D718BE" w:rsidRDefault="00D718BE" w:rsidP="00B05B39">
      <w:pPr>
        <w:pStyle w:val="tkTablic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получения разрешения на ввоз предусматривает получение справки</w:t>
      </w:r>
      <w:r w:rsidRPr="00A445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ввозимые ЛС и МИ </w:t>
      </w:r>
      <w:r w:rsidRPr="00A44533">
        <w:rPr>
          <w:rFonts w:ascii="Times New Roman" w:hAnsi="Times New Roman" w:cs="Times New Roman"/>
          <w:sz w:val="24"/>
          <w:szCs w:val="24"/>
        </w:rPr>
        <w:t>принадлеж</w:t>
      </w:r>
      <w:r>
        <w:rPr>
          <w:rFonts w:ascii="Times New Roman" w:hAnsi="Times New Roman" w:cs="Times New Roman"/>
          <w:sz w:val="24"/>
          <w:szCs w:val="24"/>
        </w:rPr>
        <w:t>ат к</w:t>
      </w:r>
      <w:r w:rsidRPr="00A44533">
        <w:rPr>
          <w:rFonts w:ascii="Times New Roman" w:hAnsi="Times New Roman" w:cs="Times New Roman"/>
          <w:sz w:val="24"/>
          <w:szCs w:val="24"/>
        </w:rPr>
        <w:t xml:space="preserve"> лекарственным средствам и медицинским изделиям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только заключения (</w:t>
      </w:r>
      <w:r w:rsidRPr="00B217E1">
        <w:rPr>
          <w:rFonts w:ascii="Times New Roman" w:hAnsi="Times New Roman" w:cs="Times New Roman"/>
          <w:sz w:val="24"/>
          <w:szCs w:val="24"/>
        </w:rPr>
        <w:t>разрешительного документа</w:t>
      </w:r>
      <w:r>
        <w:rPr>
          <w:rFonts w:ascii="Times New Roman" w:hAnsi="Times New Roman" w:cs="Times New Roman"/>
          <w:sz w:val="24"/>
          <w:szCs w:val="24"/>
        </w:rPr>
        <w:t>), если это не так;</w:t>
      </w:r>
    </w:p>
    <w:p w14:paraId="1643DCFE" w14:textId="77777777" w:rsidR="00D718BE" w:rsidRDefault="00D718BE" w:rsidP="00B05B39">
      <w:pPr>
        <w:pStyle w:val="tkTablic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сокращению издержек посредством минимизации количества документов, необходимых для получения справки или</w:t>
      </w:r>
      <w:r w:rsidRPr="00530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заключения (</w:t>
      </w:r>
      <w:r w:rsidRPr="00B217E1">
        <w:rPr>
          <w:rFonts w:ascii="Times New Roman" w:hAnsi="Times New Roman" w:cs="Times New Roman"/>
          <w:sz w:val="24"/>
          <w:szCs w:val="24"/>
        </w:rPr>
        <w:t>разрешительного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481B48B" w14:textId="77777777" w:rsidR="00D718BE" w:rsidRPr="006B52F3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03D5F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 xml:space="preserve">ввоза ЛС и МИ содействует </w:t>
      </w:r>
      <w:r w:rsidRPr="00A03D5F">
        <w:rPr>
          <w:rFonts w:ascii="Times New Roman" w:hAnsi="Times New Roman" w:cs="Times New Roman"/>
          <w:sz w:val="24"/>
          <w:szCs w:val="24"/>
        </w:rPr>
        <w:t>уполномоченно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A03D5F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у менее затратному, более быстрому (рациональному) выполнению функциональных обязанностей.</w:t>
      </w:r>
    </w:p>
    <w:p w14:paraId="0C0704CF" w14:textId="77777777" w:rsidR="002B5B40" w:rsidRPr="002B5B40" w:rsidRDefault="002B5B40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E767CA" w14:textId="5A444DEC" w:rsidR="00975B4C" w:rsidRPr="005144E7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144E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75B4C" w:rsidRPr="005144E7">
        <w:rPr>
          <w:rFonts w:ascii="Times New Roman" w:hAnsi="Times New Roman" w:cs="Times New Roman"/>
          <w:b/>
          <w:bCs/>
          <w:sz w:val="24"/>
          <w:szCs w:val="24"/>
        </w:rPr>
        <w:t>Оценка возможных неблагоприятных последствий:</w:t>
      </w:r>
    </w:p>
    <w:p w14:paraId="103FD48E" w14:textId="7C935DB4" w:rsidR="00D718BE" w:rsidRPr="002B5B40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Неблагоприятные последствия для предпринимателей и государственных органов отсутствуют.</w:t>
      </w:r>
    </w:p>
    <w:p w14:paraId="16B7C395" w14:textId="77777777" w:rsidR="00D718BE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E0B003" w14:textId="27AC43F5" w:rsidR="00975B4C" w:rsidRPr="005144E7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144E7">
        <w:rPr>
          <w:rFonts w:ascii="Times New Roman" w:hAnsi="Times New Roman" w:cs="Times New Roman"/>
          <w:b/>
          <w:bCs/>
          <w:sz w:val="24"/>
          <w:szCs w:val="24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6AFFDD8E" w14:textId="2915F846" w:rsidR="00D718BE" w:rsidRPr="00D718BE" w:rsidRDefault="00D718BE" w:rsidP="00B05B39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8BE">
        <w:rPr>
          <w:rFonts w:ascii="Times New Roman" w:hAnsi="Times New Roman"/>
          <w:sz w:val="24"/>
          <w:szCs w:val="24"/>
        </w:rPr>
        <w:t>Количество субъектов обращения ЛС и МИ, подпадающих под действие проекта НПА, составляет 514 единиц.</w:t>
      </w:r>
    </w:p>
    <w:p w14:paraId="3ACD0E06" w14:textId="28CBD107" w:rsidR="00975B4C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A582A2F" w14:textId="77777777" w:rsidR="00975B4C" w:rsidRPr="005144E7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144E7">
        <w:rPr>
          <w:rFonts w:ascii="Times New Roman" w:hAnsi="Times New Roman" w:cs="Times New Roman"/>
          <w:b/>
          <w:bCs/>
          <w:sz w:val="24"/>
          <w:szCs w:val="24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23573D52" w14:textId="4CE58059" w:rsidR="00975B4C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718BE">
        <w:rPr>
          <w:rFonts w:ascii="Times New Roman" w:hAnsi="Times New Roman" w:cs="Times New Roman"/>
          <w:sz w:val="24"/>
          <w:szCs w:val="24"/>
        </w:rPr>
        <w:t>атраты: отсутствуют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18BE">
        <w:rPr>
          <w:rFonts w:ascii="Times New Roman" w:hAnsi="Times New Roman" w:cs="Times New Roman"/>
          <w:sz w:val="24"/>
          <w:szCs w:val="24"/>
        </w:rPr>
        <w:t xml:space="preserve">выгоды: </w:t>
      </w:r>
      <w:r w:rsidR="00517EA1">
        <w:rPr>
          <w:rFonts w:ascii="Times New Roman" w:hAnsi="Times New Roman" w:cs="Times New Roman"/>
          <w:sz w:val="24"/>
          <w:szCs w:val="24"/>
        </w:rPr>
        <w:t>7800</w:t>
      </w:r>
      <w:r w:rsidRPr="00D718BE">
        <w:rPr>
          <w:rFonts w:ascii="Times New Roman" w:hAnsi="Times New Roman" w:cs="Times New Roman"/>
          <w:sz w:val="24"/>
          <w:szCs w:val="24"/>
        </w:rPr>
        <w:t xml:space="preserve"> тыс. сомов.</w:t>
      </w:r>
    </w:p>
    <w:p w14:paraId="02F10657" w14:textId="77777777" w:rsidR="00D718BE" w:rsidRPr="002B5B40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3D649A6" w14:textId="77777777" w:rsidR="00975B4C" w:rsidRPr="005144E7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144E7">
        <w:rPr>
          <w:rFonts w:ascii="Times New Roman" w:hAnsi="Times New Roman" w:cs="Times New Roman"/>
          <w:b/>
          <w:bCs/>
          <w:sz w:val="24"/>
          <w:szCs w:val="24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5ED44E94" w14:textId="2E0BFD14" w:rsidR="00975B4C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и выгоды отсутствуют</w:t>
      </w:r>
    </w:p>
    <w:p w14:paraId="1CF8A6E8" w14:textId="77777777" w:rsidR="00D718BE" w:rsidRPr="002B5B40" w:rsidRDefault="00D718BE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8EE917" w14:textId="548FCAFA" w:rsidR="00975B4C" w:rsidRPr="005144E7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144E7">
        <w:rPr>
          <w:rFonts w:ascii="Times New Roman" w:hAnsi="Times New Roman" w:cs="Times New Roman"/>
          <w:b/>
          <w:bCs/>
          <w:sz w:val="24"/>
          <w:szCs w:val="24"/>
        </w:rPr>
        <w:t>Перечень вопросов для участников публичных консультаций:</w:t>
      </w:r>
    </w:p>
    <w:p w14:paraId="35910CEB" w14:textId="77777777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- являются ли указанные проблемы верными, требующими решения путем изменения регулирования;</w:t>
      </w:r>
    </w:p>
    <w:p w14:paraId="18A96D10" w14:textId="77777777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- является ли указанная цель обоснованной, важной для достижения;</w:t>
      </w:r>
    </w:p>
    <w:p w14:paraId="36C9C28C" w14:textId="77777777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- является ли предлагаемый способ решения проблем (регулирование) наиболее предпочтительным;</w:t>
      </w:r>
    </w:p>
    <w:p w14:paraId="7539567D" w14:textId="77777777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- какие выгоды и преимущества могут возникнуть в случае принятия предлагаемого регулирования;</w:t>
      </w:r>
    </w:p>
    <w:p w14:paraId="33B7ED40" w14:textId="77777777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- какие риски и негативные последствия могут возникнуть в случае принятия предлагаемого регулирования;</w:t>
      </w:r>
    </w:p>
    <w:p w14:paraId="32158332" w14:textId="77777777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- существуют ли более эффективные альтернативные способы решения проблем;</w:t>
      </w:r>
    </w:p>
    <w:p w14:paraId="7E56F1EC" w14:textId="77777777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- общее мнение относительно предлагаемого регулирования.</w:t>
      </w:r>
    </w:p>
    <w:p w14:paraId="688BE5FD" w14:textId="77777777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Перечень вопросов может быть расширен.</w:t>
      </w:r>
    </w:p>
    <w:p w14:paraId="0F0B57F3" w14:textId="77777777" w:rsidR="005144E7" w:rsidRDefault="005144E7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A031378" w14:textId="4139B48F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Иная информация, которая позволяет оценить необходимость введения предлагаемого регулирования:</w:t>
      </w:r>
    </w:p>
    <w:p w14:paraId="430EC666" w14:textId="2FC8F687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DA4212" w14:textId="57C632EB" w:rsidR="00F52E8C" w:rsidRPr="005144E7" w:rsidRDefault="00F52E8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</w:rPr>
      </w:pPr>
      <w:r w:rsidRPr="005144E7">
        <w:rPr>
          <w:rFonts w:ascii="Times New Roman" w:hAnsi="Times New Roman" w:cs="Times New Roman"/>
        </w:rPr>
        <w:t>(место для текстового описания)</w:t>
      </w:r>
    </w:p>
    <w:p w14:paraId="28BDE21F" w14:textId="77777777" w:rsidR="005144E7" w:rsidRDefault="005144E7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9EA767B" w14:textId="699C3583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Контакты и сроки для обсуждения информации уведомления: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396"/>
      </w:tblGrid>
      <w:tr w:rsidR="00975B4C" w:rsidRPr="002B5B40" w14:paraId="23F4AE53" w14:textId="77777777" w:rsidTr="002B5B40">
        <w:tc>
          <w:tcPr>
            <w:tcW w:w="3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4CBC" w14:textId="77777777" w:rsidR="00975B4C" w:rsidRPr="002B5B40" w:rsidRDefault="00975B4C" w:rsidP="00B05B3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B40">
              <w:rPr>
                <w:rFonts w:ascii="Times New Roman" w:hAnsi="Times New Roman" w:cs="Times New Roman"/>
                <w:sz w:val="24"/>
                <w:szCs w:val="24"/>
              </w:rPr>
              <w:t>1. Предложения принимаются:</w:t>
            </w:r>
          </w:p>
        </w:tc>
        <w:tc>
          <w:tcPr>
            <w:tcW w:w="1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B265" w14:textId="77777777" w:rsidR="00975B4C" w:rsidRPr="002B5B40" w:rsidRDefault="00975B4C" w:rsidP="00B05B3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B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B4C" w:rsidRPr="002B5B40" w14:paraId="136DBB63" w14:textId="77777777" w:rsidTr="002B5B40">
        <w:tc>
          <w:tcPr>
            <w:tcW w:w="3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73B3" w14:textId="77777777" w:rsidR="00975B4C" w:rsidRPr="002B5B40" w:rsidRDefault="00975B4C" w:rsidP="00B05B3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B40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9A27" w14:textId="1D977B21" w:rsidR="00975B4C" w:rsidRPr="005144E7" w:rsidRDefault="00F414AE" w:rsidP="00B05B3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hyperlink r:id="rId7" w:history="1">
              <w:r w:rsidRPr="0008222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musaeva</w:t>
              </w:r>
              <w:r w:rsidRPr="0008222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8222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majya</w:t>
              </w:r>
              <w:r w:rsidRPr="0008222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8222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8222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8222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75B4C" w:rsidRPr="002B5B40" w14:paraId="2A1ABEFB" w14:textId="77777777" w:rsidTr="002B5B40">
        <w:tc>
          <w:tcPr>
            <w:tcW w:w="3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8A0C" w14:textId="77777777" w:rsidR="00975B4C" w:rsidRPr="002B5B40" w:rsidRDefault="00975B4C" w:rsidP="00B05B3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B40">
              <w:rPr>
                <w:rFonts w:ascii="Times New Roman" w:hAnsi="Times New Roman" w:cs="Times New Roman"/>
                <w:sz w:val="24"/>
                <w:szCs w:val="24"/>
              </w:rPr>
              <w:t>- на почтовый адрес</w:t>
            </w:r>
          </w:p>
        </w:tc>
        <w:tc>
          <w:tcPr>
            <w:tcW w:w="1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DA54" w14:textId="5481B582" w:rsidR="00975B4C" w:rsidRPr="00F414AE" w:rsidRDefault="00F414AE" w:rsidP="00F414A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14AE">
              <w:rPr>
                <w:rFonts w:ascii="Times New Roman" w:hAnsi="Times New Roman"/>
                <w:sz w:val="24"/>
                <w:szCs w:val="24"/>
              </w:rPr>
              <w:t>г.Бишкек</w:t>
            </w:r>
            <w:proofErr w:type="spellEnd"/>
            <w:r w:rsidRPr="00F414AE">
              <w:rPr>
                <w:rFonts w:ascii="Times New Roman" w:hAnsi="Times New Roman"/>
                <w:sz w:val="24"/>
                <w:szCs w:val="24"/>
              </w:rPr>
              <w:t>, ул. 3-я линия, 25</w:t>
            </w:r>
          </w:p>
        </w:tc>
      </w:tr>
      <w:tr w:rsidR="00975B4C" w:rsidRPr="002B5B40" w14:paraId="786A2CD5" w14:textId="77777777" w:rsidTr="002B5B40">
        <w:tc>
          <w:tcPr>
            <w:tcW w:w="3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5D54" w14:textId="77777777" w:rsidR="00975B4C" w:rsidRPr="002B5B40" w:rsidRDefault="00975B4C" w:rsidP="00B05B3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B40">
              <w:rPr>
                <w:rFonts w:ascii="Times New Roman" w:hAnsi="Times New Roman" w:cs="Times New Roman"/>
                <w:sz w:val="24"/>
                <w:szCs w:val="24"/>
              </w:rPr>
              <w:t>2. Срок приема предложений не позднее</w:t>
            </w:r>
          </w:p>
        </w:tc>
        <w:tc>
          <w:tcPr>
            <w:tcW w:w="18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378F" w14:textId="0CD01AC6" w:rsidR="00975B4C" w:rsidRPr="005144E7" w:rsidRDefault="00F414AE" w:rsidP="00B05B3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14AE">
              <w:rPr>
                <w:rFonts w:ascii="Times New Roman" w:hAnsi="Times New Roman" w:cs="Times New Roman"/>
                <w:sz w:val="24"/>
                <w:szCs w:val="24"/>
              </w:rPr>
              <w:t>23.07.2024 года</w:t>
            </w:r>
          </w:p>
        </w:tc>
      </w:tr>
      <w:tr w:rsidR="00975B4C" w:rsidRPr="002B5B40" w14:paraId="72976E01" w14:textId="77777777" w:rsidTr="00F414AE">
        <w:tc>
          <w:tcPr>
            <w:tcW w:w="318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D6F3" w14:textId="77777777" w:rsidR="00975B4C" w:rsidRPr="002B5B40" w:rsidRDefault="00975B4C" w:rsidP="00B05B3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B40">
              <w:rPr>
                <w:rFonts w:ascii="Times New Roman" w:hAnsi="Times New Roman" w:cs="Times New Roman"/>
                <w:sz w:val="24"/>
                <w:szCs w:val="24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8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ED96" w14:textId="0431E513" w:rsidR="00975B4C" w:rsidRPr="005144E7" w:rsidRDefault="00F414AE" w:rsidP="00B05B39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14AE">
              <w:rPr>
                <w:rFonts w:ascii="Times New Roman" w:hAnsi="Times New Roman" w:cs="Times New Roman"/>
                <w:sz w:val="24"/>
                <w:szCs w:val="24"/>
              </w:rPr>
              <w:t>23.07.2024 года</w:t>
            </w:r>
          </w:p>
        </w:tc>
      </w:tr>
    </w:tbl>
    <w:p w14:paraId="36640663" w14:textId="77777777" w:rsidR="00975B4C" w:rsidRPr="002B5B40" w:rsidRDefault="00975B4C" w:rsidP="00B05B3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5B40">
        <w:rPr>
          <w:rFonts w:ascii="Times New Roman" w:hAnsi="Times New Roman" w:cs="Times New Roman"/>
          <w:sz w:val="24"/>
          <w:szCs w:val="24"/>
        </w:rPr>
        <w:t> </w:t>
      </w:r>
    </w:p>
    <w:sectPr w:rsidR="00975B4C" w:rsidRPr="002B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B88E6" w14:textId="77777777" w:rsidR="00C60969" w:rsidRDefault="00C60969" w:rsidP="002B5B40">
      <w:pPr>
        <w:spacing w:after="0" w:line="240" w:lineRule="auto"/>
      </w:pPr>
      <w:r>
        <w:separator/>
      </w:r>
    </w:p>
  </w:endnote>
  <w:endnote w:type="continuationSeparator" w:id="0">
    <w:p w14:paraId="1B9C0825" w14:textId="77777777" w:rsidR="00C60969" w:rsidRDefault="00C60969" w:rsidP="002B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A6EDC" w14:textId="77777777" w:rsidR="00C60969" w:rsidRDefault="00C60969" w:rsidP="002B5B40">
      <w:pPr>
        <w:spacing w:after="0" w:line="240" w:lineRule="auto"/>
      </w:pPr>
      <w:r>
        <w:separator/>
      </w:r>
    </w:p>
  </w:footnote>
  <w:footnote w:type="continuationSeparator" w:id="0">
    <w:p w14:paraId="2F27C981" w14:textId="77777777" w:rsidR="00C60969" w:rsidRDefault="00C60969" w:rsidP="002B5B40">
      <w:pPr>
        <w:spacing w:after="0" w:line="240" w:lineRule="auto"/>
      </w:pPr>
      <w:r>
        <w:continuationSeparator/>
      </w:r>
    </w:p>
  </w:footnote>
  <w:footnote w:id="1">
    <w:p w14:paraId="14A8CDBC" w14:textId="77777777" w:rsidR="002B5B40" w:rsidRPr="0016188C" w:rsidRDefault="002B5B40" w:rsidP="002B5B40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6188C">
        <w:t>Государственный реестр лекарственных средств является официальным электронным документом учета лекарственных средств, разрешенных к применению в Кыргызской Республике. В него включаются: 1) лекарственные препараты, зарегистрированные на территории Кыргызской Республики; 2) фармацевтические субстанции; 3) лекарственные препараты, временно разрешенные к ввозу и медицинскому применению без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74D"/>
    <w:multiLevelType w:val="hybridMultilevel"/>
    <w:tmpl w:val="B7AE0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580DF6"/>
    <w:multiLevelType w:val="hybridMultilevel"/>
    <w:tmpl w:val="14DA506E"/>
    <w:lvl w:ilvl="0" w:tplc="F90E1340">
      <w:start w:val="1"/>
      <w:numFmt w:val="decimal"/>
      <w:lvlText w:val="%1."/>
      <w:lvlJc w:val="left"/>
      <w:pPr>
        <w:ind w:left="5463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6183" w:hanging="360"/>
      </w:pPr>
    </w:lvl>
    <w:lvl w:ilvl="2" w:tplc="2000001B" w:tentative="1">
      <w:start w:val="1"/>
      <w:numFmt w:val="lowerRoman"/>
      <w:lvlText w:val="%3."/>
      <w:lvlJc w:val="right"/>
      <w:pPr>
        <w:ind w:left="6903" w:hanging="180"/>
      </w:pPr>
    </w:lvl>
    <w:lvl w:ilvl="3" w:tplc="2000000F" w:tentative="1">
      <w:start w:val="1"/>
      <w:numFmt w:val="decimal"/>
      <w:lvlText w:val="%4."/>
      <w:lvlJc w:val="left"/>
      <w:pPr>
        <w:ind w:left="7623" w:hanging="360"/>
      </w:pPr>
    </w:lvl>
    <w:lvl w:ilvl="4" w:tplc="20000019" w:tentative="1">
      <w:start w:val="1"/>
      <w:numFmt w:val="lowerLetter"/>
      <w:lvlText w:val="%5."/>
      <w:lvlJc w:val="left"/>
      <w:pPr>
        <w:ind w:left="8343" w:hanging="360"/>
      </w:pPr>
    </w:lvl>
    <w:lvl w:ilvl="5" w:tplc="2000001B" w:tentative="1">
      <w:start w:val="1"/>
      <w:numFmt w:val="lowerRoman"/>
      <w:lvlText w:val="%6."/>
      <w:lvlJc w:val="right"/>
      <w:pPr>
        <w:ind w:left="9063" w:hanging="180"/>
      </w:pPr>
    </w:lvl>
    <w:lvl w:ilvl="6" w:tplc="2000000F" w:tentative="1">
      <w:start w:val="1"/>
      <w:numFmt w:val="decimal"/>
      <w:lvlText w:val="%7."/>
      <w:lvlJc w:val="left"/>
      <w:pPr>
        <w:ind w:left="9783" w:hanging="360"/>
      </w:pPr>
    </w:lvl>
    <w:lvl w:ilvl="7" w:tplc="20000019" w:tentative="1">
      <w:start w:val="1"/>
      <w:numFmt w:val="lowerLetter"/>
      <w:lvlText w:val="%8."/>
      <w:lvlJc w:val="left"/>
      <w:pPr>
        <w:ind w:left="10503" w:hanging="360"/>
      </w:pPr>
    </w:lvl>
    <w:lvl w:ilvl="8" w:tplc="2000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2" w15:restartNumberingAfterBreak="0">
    <w:nsid w:val="73345B45"/>
    <w:multiLevelType w:val="hybridMultilevel"/>
    <w:tmpl w:val="6164AC4A"/>
    <w:lvl w:ilvl="0" w:tplc="20000011">
      <w:start w:val="1"/>
      <w:numFmt w:val="decimal"/>
      <w:lvlText w:val="%1)"/>
      <w:lvlJc w:val="left"/>
      <w:pPr>
        <w:ind w:left="5463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6183" w:hanging="360"/>
      </w:pPr>
    </w:lvl>
    <w:lvl w:ilvl="2" w:tplc="2000001B" w:tentative="1">
      <w:start w:val="1"/>
      <w:numFmt w:val="lowerRoman"/>
      <w:lvlText w:val="%3."/>
      <w:lvlJc w:val="right"/>
      <w:pPr>
        <w:ind w:left="6903" w:hanging="180"/>
      </w:pPr>
    </w:lvl>
    <w:lvl w:ilvl="3" w:tplc="2000000F" w:tentative="1">
      <w:start w:val="1"/>
      <w:numFmt w:val="decimal"/>
      <w:lvlText w:val="%4."/>
      <w:lvlJc w:val="left"/>
      <w:pPr>
        <w:ind w:left="7623" w:hanging="360"/>
      </w:pPr>
    </w:lvl>
    <w:lvl w:ilvl="4" w:tplc="20000019" w:tentative="1">
      <w:start w:val="1"/>
      <w:numFmt w:val="lowerLetter"/>
      <w:lvlText w:val="%5."/>
      <w:lvlJc w:val="left"/>
      <w:pPr>
        <w:ind w:left="8343" w:hanging="360"/>
      </w:pPr>
    </w:lvl>
    <w:lvl w:ilvl="5" w:tplc="2000001B" w:tentative="1">
      <w:start w:val="1"/>
      <w:numFmt w:val="lowerRoman"/>
      <w:lvlText w:val="%6."/>
      <w:lvlJc w:val="right"/>
      <w:pPr>
        <w:ind w:left="9063" w:hanging="180"/>
      </w:pPr>
    </w:lvl>
    <w:lvl w:ilvl="6" w:tplc="2000000F" w:tentative="1">
      <w:start w:val="1"/>
      <w:numFmt w:val="decimal"/>
      <w:lvlText w:val="%7."/>
      <w:lvlJc w:val="left"/>
      <w:pPr>
        <w:ind w:left="9783" w:hanging="360"/>
      </w:pPr>
    </w:lvl>
    <w:lvl w:ilvl="7" w:tplc="20000019" w:tentative="1">
      <w:start w:val="1"/>
      <w:numFmt w:val="lowerLetter"/>
      <w:lvlText w:val="%8."/>
      <w:lvlJc w:val="left"/>
      <w:pPr>
        <w:ind w:left="10503" w:hanging="360"/>
      </w:pPr>
    </w:lvl>
    <w:lvl w:ilvl="8" w:tplc="2000001B" w:tentative="1">
      <w:start w:val="1"/>
      <w:numFmt w:val="lowerRoman"/>
      <w:lvlText w:val="%9."/>
      <w:lvlJc w:val="right"/>
      <w:pPr>
        <w:ind w:left="11223" w:hanging="180"/>
      </w:pPr>
    </w:lvl>
  </w:abstractNum>
  <w:num w:numId="1" w16cid:durableId="1339045238">
    <w:abstractNumId w:val="1"/>
  </w:num>
  <w:num w:numId="2" w16cid:durableId="1225220975">
    <w:abstractNumId w:val="0"/>
  </w:num>
  <w:num w:numId="3" w16cid:durableId="1631014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4C"/>
    <w:rsid w:val="002B5B40"/>
    <w:rsid w:val="00370C8B"/>
    <w:rsid w:val="00396253"/>
    <w:rsid w:val="005144E7"/>
    <w:rsid w:val="00517EA1"/>
    <w:rsid w:val="006347F9"/>
    <w:rsid w:val="007F4019"/>
    <w:rsid w:val="008565A5"/>
    <w:rsid w:val="00892C83"/>
    <w:rsid w:val="008935C4"/>
    <w:rsid w:val="00975B4C"/>
    <w:rsid w:val="00A20893"/>
    <w:rsid w:val="00B05B39"/>
    <w:rsid w:val="00C60969"/>
    <w:rsid w:val="00CD748F"/>
    <w:rsid w:val="00D718BE"/>
    <w:rsid w:val="00DD2834"/>
    <w:rsid w:val="00E02D83"/>
    <w:rsid w:val="00F414AE"/>
    <w:rsid w:val="00F5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77F5"/>
  <w15:chartTrackingRefBased/>
  <w15:docId w15:val="{F1BE27AC-76A1-47E3-AEEF-C14D9C5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75B4C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75B4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75B4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975B4C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2B5B40"/>
    <w:pPr>
      <w:ind w:left="720"/>
      <w:contextualSpacing/>
    </w:pPr>
    <w:rPr>
      <w:rFonts w:asciiTheme="minorHAnsi" w:eastAsiaTheme="minorHAnsi" w:hAnsiTheme="minorHAnsi" w:cstheme="minorBidi"/>
      <w:lang w:val="ru-KG"/>
    </w:rPr>
  </w:style>
  <w:style w:type="paragraph" w:styleId="a5">
    <w:name w:val="footnote text"/>
    <w:basedOn w:val="a"/>
    <w:link w:val="a6"/>
    <w:uiPriority w:val="99"/>
    <w:semiHidden/>
    <w:unhideWhenUsed/>
    <w:rsid w:val="002B5B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B5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2B5B40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2B5B40"/>
    <w:rPr>
      <w:lang w:val="ru-KG"/>
    </w:rPr>
  </w:style>
  <w:style w:type="character" w:styleId="a8">
    <w:name w:val="Hyperlink"/>
    <w:basedOn w:val="a0"/>
    <w:uiPriority w:val="99"/>
    <w:unhideWhenUsed/>
    <w:rsid w:val="00F41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aeva.maj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Izmailov</dc:creator>
  <cp:keywords/>
  <dc:description/>
  <cp:lastModifiedBy>User</cp:lastModifiedBy>
  <cp:revision>10</cp:revision>
  <dcterms:created xsi:type="dcterms:W3CDTF">2024-05-07T00:50:00Z</dcterms:created>
  <dcterms:modified xsi:type="dcterms:W3CDTF">2024-07-22T09:43:00Z</dcterms:modified>
</cp:coreProperties>
</file>